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B906">
      <w:pPr>
        <w:spacing w:line="520" w:lineRule="exact"/>
        <w:jc w:val="left"/>
        <w:rPr>
          <w:rFonts w:hint="eastAsia" w:ascii="仿宋_GB2312" w:hAnsi="等线" w:eastAsia="仿宋_GB2312"/>
          <w:sz w:val="32"/>
          <w:szCs w:val="32"/>
        </w:rPr>
      </w:pPr>
      <w:r>
        <w:rPr>
          <w:rFonts w:hint="eastAsia" w:ascii="仿宋_GB2312" w:hAnsi="等线" w:eastAsia="仿宋_GB2312"/>
          <w:sz w:val="32"/>
          <w:szCs w:val="32"/>
        </w:rPr>
        <w:t>附件</w:t>
      </w:r>
    </w:p>
    <w:p w14:paraId="10EECFE8">
      <w:pPr>
        <w:spacing w:line="560" w:lineRule="exact"/>
        <w:jc w:val="center"/>
        <w:rPr>
          <w:rFonts w:hint="eastAsia" w:ascii="仿宋_GB2312" w:hAnsi="等线" w:eastAsia="仿宋_GB2312"/>
          <w:sz w:val="28"/>
          <w:szCs w:val="28"/>
        </w:rPr>
      </w:pPr>
      <w:r>
        <w:rPr>
          <w:rFonts w:hint="eastAsia" w:ascii="方正小标宋简体" w:hAnsi="宋体" w:eastAsia="方正小标宋简体"/>
          <w:sz w:val="44"/>
          <w:szCs w:val="44"/>
        </w:rPr>
        <w:t>报 价 单</w:t>
      </w:r>
    </w:p>
    <w:p w14:paraId="4F3643D2">
      <w:pPr>
        <w:spacing w:line="560" w:lineRule="exact"/>
        <w:jc w:val="left"/>
        <w:rPr>
          <w:rFonts w:hint="eastAsia" w:ascii="仿宋_GB2312" w:hAnsi="等线" w:eastAsia="仿宋_GB2312"/>
          <w:sz w:val="28"/>
          <w:szCs w:val="28"/>
        </w:rPr>
      </w:pPr>
    </w:p>
    <w:p w14:paraId="153B7D3B">
      <w:pPr>
        <w:spacing w:line="560" w:lineRule="exact"/>
        <w:jc w:val="left"/>
        <w:rPr>
          <w:rFonts w:hint="eastAsia" w:ascii="仿宋_GB2312" w:hAnsi="仿宋" w:eastAsia="仿宋_GB2312"/>
          <w:sz w:val="28"/>
          <w:szCs w:val="28"/>
        </w:rPr>
      </w:pPr>
      <w:r>
        <w:rPr>
          <w:rFonts w:hint="eastAsia" w:ascii="仿宋_GB2312" w:hAnsi="等线" w:eastAsia="仿宋_GB2312"/>
          <w:sz w:val="28"/>
          <w:szCs w:val="28"/>
        </w:rPr>
        <w:t>报价单位（加盖公章）：</w:t>
      </w:r>
      <w:r>
        <w:rPr>
          <w:rFonts w:hint="eastAsia" w:ascii="仿宋_GB2312" w:hAnsi="仿宋" w:eastAsia="仿宋_GB2312"/>
          <w:sz w:val="28"/>
          <w:szCs w:val="28"/>
          <w:u w:val="single"/>
        </w:rPr>
        <w:t xml:space="preserve">                                   </w:t>
      </w:r>
    </w:p>
    <w:p w14:paraId="07EFA896">
      <w:pPr>
        <w:spacing w:line="560" w:lineRule="exact"/>
        <w:jc w:val="left"/>
        <w:rPr>
          <w:rFonts w:hint="eastAsia" w:ascii="仿宋_GB2312" w:hAnsi="仿宋" w:eastAsia="仿宋_GB2312"/>
          <w:sz w:val="28"/>
          <w:szCs w:val="28"/>
          <w:u w:val="single"/>
        </w:rPr>
      </w:pPr>
      <w:r>
        <w:rPr>
          <w:rFonts w:hint="eastAsia" w:ascii="仿宋_GB2312" w:hAnsi="仿宋" w:eastAsia="仿宋_GB2312"/>
          <w:sz w:val="28"/>
          <w:szCs w:val="28"/>
        </w:rPr>
        <w:t>联系人：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联系电话：</w:t>
      </w:r>
      <w:r>
        <w:rPr>
          <w:rFonts w:hint="eastAsia" w:ascii="仿宋_GB2312" w:hAnsi="仿宋" w:eastAsia="仿宋_GB2312"/>
          <w:sz w:val="28"/>
          <w:szCs w:val="28"/>
          <w:u w:val="single"/>
        </w:rPr>
        <w:t xml:space="preserve">                   </w:t>
      </w:r>
    </w:p>
    <w:p w14:paraId="1498DA6F">
      <w:pPr>
        <w:spacing w:line="560" w:lineRule="exact"/>
        <w:jc w:val="left"/>
        <w:rPr>
          <w:rFonts w:hint="eastAsia" w:ascii="仿宋_GB2312" w:hAnsi="仿宋" w:eastAsia="仿宋_GB2312"/>
          <w:sz w:val="28"/>
          <w:szCs w:val="28"/>
        </w:rPr>
      </w:pPr>
      <w:r>
        <w:rPr>
          <w:rFonts w:hint="eastAsia" w:ascii="仿宋_GB2312" w:hAnsi="仿宋" w:eastAsia="仿宋_GB2312"/>
          <w:sz w:val="28"/>
          <w:szCs w:val="28"/>
        </w:rPr>
        <w:t>报价有效日期至：</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w:t>
      </w:r>
    </w:p>
    <w:p w14:paraId="5410572C">
      <w:pPr>
        <w:pStyle w:val="11"/>
      </w:pP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3136"/>
        <w:gridCol w:w="1289"/>
        <w:gridCol w:w="3556"/>
      </w:tblGrid>
      <w:tr w14:paraId="0F06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34" w:type="dxa"/>
            <w:vAlign w:val="center"/>
          </w:tcPr>
          <w:p w14:paraId="7F8265B6">
            <w:pPr>
              <w:spacing w:line="520" w:lineRule="exact"/>
              <w:jc w:val="center"/>
              <w:rPr>
                <w:rFonts w:hint="eastAsia" w:ascii="仿宋_GB2312" w:hAnsi="仿宋" w:eastAsia="仿宋_GB2312"/>
                <w:b/>
                <w:bCs/>
                <w:kern w:val="0"/>
                <w:sz w:val="28"/>
                <w:szCs w:val="28"/>
              </w:rPr>
            </w:pPr>
            <w:r>
              <w:rPr>
                <w:rFonts w:hint="eastAsia" w:ascii="仿宋_GB2312" w:hAnsi="仿宋" w:eastAsia="仿宋_GB2312"/>
                <w:b/>
                <w:bCs/>
                <w:kern w:val="0"/>
                <w:sz w:val="28"/>
                <w:szCs w:val="28"/>
              </w:rPr>
              <w:t>序号</w:t>
            </w:r>
          </w:p>
        </w:tc>
        <w:tc>
          <w:tcPr>
            <w:tcW w:w="3136" w:type="dxa"/>
            <w:vAlign w:val="center"/>
          </w:tcPr>
          <w:p w14:paraId="55893FF9">
            <w:pPr>
              <w:spacing w:line="520" w:lineRule="exact"/>
              <w:jc w:val="center"/>
              <w:rPr>
                <w:rFonts w:hint="eastAsia" w:ascii="仿宋_GB2312" w:hAnsi="仿宋" w:eastAsia="仿宋_GB2312"/>
                <w:b/>
                <w:bCs/>
                <w:kern w:val="0"/>
                <w:sz w:val="28"/>
                <w:szCs w:val="28"/>
              </w:rPr>
            </w:pPr>
            <w:r>
              <w:rPr>
                <w:rFonts w:hint="eastAsia" w:ascii="仿宋_GB2312" w:hAnsi="仿宋" w:eastAsia="仿宋_GB2312"/>
                <w:b/>
                <w:bCs/>
                <w:kern w:val="0"/>
                <w:sz w:val="28"/>
                <w:szCs w:val="28"/>
              </w:rPr>
              <w:t>报价项目说明</w:t>
            </w:r>
          </w:p>
        </w:tc>
        <w:tc>
          <w:tcPr>
            <w:tcW w:w="1289" w:type="dxa"/>
            <w:vAlign w:val="center"/>
          </w:tcPr>
          <w:p w14:paraId="7B03B4F9">
            <w:pPr>
              <w:spacing w:line="520" w:lineRule="exact"/>
              <w:jc w:val="center"/>
              <w:rPr>
                <w:rFonts w:hint="eastAsia" w:ascii="仿宋_GB2312" w:hAnsi="仿宋" w:eastAsia="仿宋_GB2312"/>
                <w:b/>
                <w:bCs/>
                <w:kern w:val="0"/>
                <w:sz w:val="28"/>
                <w:szCs w:val="28"/>
              </w:rPr>
            </w:pPr>
            <w:r>
              <w:rPr>
                <w:rFonts w:hint="eastAsia" w:ascii="仿宋_GB2312" w:hAnsi="仿宋" w:eastAsia="仿宋_GB2312"/>
                <w:b/>
                <w:bCs/>
                <w:kern w:val="0"/>
                <w:sz w:val="28"/>
                <w:szCs w:val="28"/>
              </w:rPr>
              <w:t>单位</w:t>
            </w:r>
          </w:p>
        </w:tc>
        <w:tc>
          <w:tcPr>
            <w:tcW w:w="3556" w:type="dxa"/>
            <w:vAlign w:val="center"/>
          </w:tcPr>
          <w:p w14:paraId="427B8C8C">
            <w:pPr>
              <w:spacing w:line="520" w:lineRule="exact"/>
              <w:jc w:val="center"/>
              <w:rPr>
                <w:rFonts w:hint="eastAsia" w:ascii="仿宋_GB2312" w:hAnsi="仿宋" w:eastAsia="仿宋_GB2312"/>
                <w:b/>
                <w:bCs/>
                <w:kern w:val="0"/>
                <w:sz w:val="28"/>
                <w:szCs w:val="28"/>
              </w:rPr>
            </w:pPr>
            <w:r>
              <w:rPr>
                <w:rFonts w:hint="eastAsia" w:ascii="仿宋_GB2312" w:hAnsi="仿宋" w:eastAsia="仿宋_GB2312"/>
                <w:b/>
                <w:bCs/>
                <w:kern w:val="0"/>
                <w:sz w:val="28"/>
                <w:szCs w:val="28"/>
              </w:rPr>
              <w:t>每升油品优惠金额</w:t>
            </w:r>
          </w:p>
          <w:p w14:paraId="0A3425C7">
            <w:pPr>
              <w:spacing w:line="520" w:lineRule="exact"/>
              <w:jc w:val="center"/>
              <w:rPr>
                <w:rFonts w:hint="eastAsia" w:ascii="仿宋_GB2312" w:hAnsi="仿宋" w:eastAsia="仿宋_GB2312"/>
                <w:b/>
                <w:bCs/>
                <w:kern w:val="0"/>
                <w:sz w:val="28"/>
                <w:szCs w:val="28"/>
              </w:rPr>
            </w:pPr>
            <w:r>
              <w:rPr>
                <w:rFonts w:hint="eastAsia" w:ascii="仿宋_GB2312" w:hAnsi="仿宋" w:eastAsia="仿宋_GB2312"/>
                <w:b/>
                <w:bCs/>
                <w:kern w:val="0"/>
                <w:sz w:val="28"/>
                <w:szCs w:val="28"/>
              </w:rPr>
              <w:t>（92#、95#、98#、0#相同）</w:t>
            </w:r>
          </w:p>
        </w:tc>
      </w:tr>
      <w:tr w14:paraId="2F02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exact"/>
          <w:jc w:val="center"/>
        </w:trPr>
        <w:tc>
          <w:tcPr>
            <w:tcW w:w="1234" w:type="dxa"/>
            <w:vAlign w:val="center"/>
          </w:tcPr>
          <w:p w14:paraId="7528E482">
            <w:pPr>
              <w:pStyle w:val="7"/>
              <w:widowControl/>
              <w:spacing w:beforeAutospacing="0" w:afterAutospacing="0" w:line="520" w:lineRule="exact"/>
              <w:jc w:val="center"/>
              <w:rPr>
                <w:rFonts w:hint="eastAsia" w:ascii="仿宋_GB2312" w:hAnsi="等线" w:eastAsia="仿宋_GB2312"/>
                <w:kern w:val="2"/>
                <w:sz w:val="28"/>
                <w:szCs w:val="28"/>
              </w:rPr>
            </w:pPr>
            <w:r>
              <w:rPr>
                <w:rFonts w:hint="eastAsia" w:ascii="仿宋_GB2312" w:hAnsi="等线" w:eastAsia="仿宋_GB2312"/>
                <w:kern w:val="2"/>
                <w:sz w:val="28"/>
                <w:szCs w:val="28"/>
              </w:rPr>
              <w:t>1</w:t>
            </w:r>
          </w:p>
        </w:tc>
        <w:tc>
          <w:tcPr>
            <w:tcW w:w="3136" w:type="dxa"/>
            <w:vAlign w:val="center"/>
          </w:tcPr>
          <w:p w14:paraId="56CA3B92">
            <w:pPr>
              <w:spacing w:line="520" w:lineRule="exact"/>
              <w:jc w:val="center"/>
              <w:rPr>
                <w:rFonts w:hint="eastAsia" w:ascii="仿宋_GB2312" w:hAnsi="等线" w:eastAsia="仿宋_GB2312"/>
                <w:sz w:val="28"/>
                <w:szCs w:val="28"/>
              </w:rPr>
            </w:pPr>
            <w:r>
              <w:rPr>
                <w:rFonts w:hint="eastAsia" w:ascii="仿宋_GB2312" w:hAnsi="等线" w:eastAsia="仿宋_GB2312"/>
                <w:sz w:val="28"/>
                <w:szCs w:val="28"/>
              </w:rPr>
              <w:t>202</w:t>
            </w:r>
            <w:r>
              <w:rPr>
                <w:rFonts w:hint="eastAsia" w:ascii="仿宋_GB2312" w:hAnsi="等线" w:eastAsia="仿宋_GB2312"/>
                <w:sz w:val="28"/>
                <w:szCs w:val="28"/>
                <w:lang w:val="en-US" w:eastAsia="zh-CN"/>
              </w:rPr>
              <w:t>5</w:t>
            </w:r>
            <w:r>
              <w:rPr>
                <w:rFonts w:hint="eastAsia" w:ascii="仿宋_GB2312" w:hAnsi="等线" w:eastAsia="仿宋_GB2312"/>
                <w:sz w:val="28"/>
                <w:szCs w:val="28"/>
              </w:rPr>
              <w:t>-202</w:t>
            </w:r>
            <w:r>
              <w:rPr>
                <w:rFonts w:hint="eastAsia" w:ascii="仿宋_GB2312" w:hAnsi="等线" w:eastAsia="仿宋_GB2312"/>
                <w:sz w:val="28"/>
                <w:szCs w:val="28"/>
                <w:lang w:val="en-US" w:eastAsia="zh-CN"/>
              </w:rPr>
              <w:t>8</w:t>
            </w:r>
            <w:r>
              <w:rPr>
                <w:rFonts w:hint="eastAsia" w:ascii="仿宋_GB2312" w:hAnsi="等线" w:eastAsia="仿宋_GB2312"/>
                <w:sz w:val="28"/>
                <w:szCs w:val="28"/>
              </w:rPr>
              <w:t>年度公务用车定点加油服务项目</w:t>
            </w:r>
          </w:p>
        </w:tc>
        <w:tc>
          <w:tcPr>
            <w:tcW w:w="1289" w:type="dxa"/>
            <w:vAlign w:val="center"/>
          </w:tcPr>
          <w:p w14:paraId="3618278F">
            <w:pPr>
              <w:spacing w:line="520" w:lineRule="exact"/>
              <w:jc w:val="center"/>
              <w:rPr>
                <w:rFonts w:hint="eastAsia" w:ascii="仿宋_GB2312" w:hAnsi="等线" w:eastAsia="仿宋_GB2312"/>
                <w:sz w:val="28"/>
                <w:szCs w:val="28"/>
              </w:rPr>
            </w:pPr>
            <w:r>
              <w:rPr>
                <w:rFonts w:hint="eastAsia" w:ascii="仿宋_GB2312" w:hAnsi="等线" w:eastAsia="仿宋_GB2312"/>
                <w:sz w:val="28"/>
                <w:szCs w:val="28"/>
              </w:rPr>
              <w:t>元/升</w:t>
            </w:r>
          </w:p>
        </w:tc>
        <w:tc>
          <w:tcPr>
            <w:tcW w:w="3556" w:type="dxa"/>
            <w:vAlign w:val="center"/>
          </w:tcPr>
          <w:p w14:paraId="437F30AE">
            <w:pPr>
              <w:spacing w:line="520" w:lineRule="exact"/>
              <w:jc w:val="center"/>
              <w:rPr>
                <w:rFonts w:hint="eastAsia" w:ascii="仿宋_GB2312" w:hAnsi="等线" w:eastAsia="仿宋_GB2312"/>
                <w:sz w:val="28"/>
                <w:szCs w:val="28"/>
              </w:rPr>
            </w:pPr>
            <w:bookmarkStart w:id="0" w:name="_GoBack"/>
            <w:bookmarkEnd w:id="0"/>
          </w:p>
        </w:tc>
      </w:tr>
      <w:tr w14:paraId="4B8C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9215" w:type="dxa"/>
            <w:gridSpan w:val="4"/>
            <w:vAlign w:val="center"/>
          </w:tcPr>
          <w:p w14:paraId="3769B909">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rPr>
              <w:t>备注：</w:t>
            </w:r>
          </w:p>
          <w:p w14:paraId="63109D7A">
            <w:pPr>
              <w:pStyle w:val="7"/>
              <w:widowControl/>
              <w:shd w:val="clear" w:color="auto" w:fill="FFFFFF"/>
              <w:spacing w:beforeAutospacing="0" w:afterAutospacing="0" w:line="520" w:lineRule="exact"/>
              <w:rPr>
                <w:rFonts w:hint="default" w:ascii="仿宋_GB2312" w:hAnsi="等线" w:eastAsia="仿宋_GB2312"/>
                <w:kern w:val="2"/>
                <w:sz w:val="28"/>
                <w:szCs w:val="28"/>
                <w:lang w:val="en-US" w:eastAsia="zh-CN"/>
              </w:rPr>
            </w:pPr>
            <w:r>
              <w:rPr>
                <w:rFonts w:hint="eastAsia" w:ascii="仿宋_GB2312" w:hAnsi="等线" w:eastAsia="仿宋_GB2312"/>
                <w:kern w:val="2"/>
                <w:sz w:val="28"/>
                <w:szCs w:val="28"/>
                <w:lang w:val="en-US" w:eastAsia="zh-CN"/>
              </w:rPr>
              <w:t>1.供应商所投报价格为油品优惠后的价格，该价格应严格按照国家有关油价政策和供应商供应时承诺的油品优惠价执行，油品优惠价是指在当日油站对外零售挂牌价或国家发改委最高零售限价的基础上减去油品优惠价计算。</w:t>
            </w:r>
          </w:p>
          <w:p w14:paraId="23781033">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2</w:t>
            </w:r>
            <w:r>
              <w:rPr>
                <w:rFonts w:hint="eastAsia" w:ascii="仿宋_GB2312" w:hAnsi="等线" w:eastAsia="仿宋_GB2312"/>
                <w:kern w:val="2"/>
                <w:sz w:val="28"/>
                <w:szCs w:val="28"/>
              </w:rPr>
              <w:t>.遇加油站降价优惠促销，优惠幅度按就高原则执行。</w:t>
            </w:r>
          </w:p>
          <w:p w14:paraId="7009E0AB">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3</w:t>
            </w:r>
            <w:r>
              <w:rPr>
                <w:rFonts w:ascii="仿宋_GB2312" w:hAnsi="等线" w:eastAsia="仿宋_GB2312"/>
                <w:kern w:val="2"/>
                <w:sz w:val="28"/>
                <w:szCs w:val="28"/>
              </w:rPr>
              <w:t>.</w:t>
            </w:r>
            <w:r>
              <w:rPr>
                <w:rFonts w:hint="eastAsia" w:ascii="仿宋_GB2312" w:hAnsi="等线" w:eastAsia="仿宋_GB2312"/>
                <w:kern w:val="2"/>
                <w:sz w:val="28"/>
                <w:szCs w:val="28"/>
              </w:rPr>
              <w:t>为便于管理，采用公务用车加油结算专用卡加油的管理方式，供应商需组织做好专用卡软件的开发、专用卡的制作，专用卡的发卡和日常管理，并严格执行凭卡对车牌号加油的管理制度，禁止持卡购置其他物品、向持卡人返还现金，对车牌号与卡不一致的拒绝加油</w:t>
            </w:r>
            <w:r>
              <w:rPr>
                <w:rFonts w:ascii="仿宋_GB2312" w:hAnsi="等线" w:eastAsia="仿宋_GB2312"/>
                <w:kern w:val="2"/>
                <w:sz w:val="28"/>
                <w:szCs w:val="28"/>
              </w:rPr>
              <w:t>。</w:t>
            </w:r>
          </w:p>
          <w:p w14:paraId="0BA44E79">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4</w:t>
            </w:r>
            <w:r>
              <w:rPr>
                <w:rFonts w:hint="eastAsia" w:ascii="仿宋_GB2312" w:hAnsi="等线" w:eastAsia="仿宋_GB2312"/>
                <w:kern w:val="2"/>
                <w:sz w:val="28"/>
                <w:szCs w:val="28"/>
              </w:rPr>
              <w:t>.供应商应提供服务承诺，并严格履行，保证油品质量，不缺斤少两、不掺杂使假，不销售不合格产品。</w:t>
            </w:r>
          </w:p>
          <w:p w14:paraId="546448F6">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5</w:t>
            </w:r>
            <w:r>
              <w:rPr>
                <w:rFonts w:hint="eastAsia" w:ascii="仿宋_GB2312" w:hAnsi="等线" w:eastAsia="仿宋_GB2312"/>
                <w:kern w:val="2"/>
                <w:sz w:val="28"/>
                <w:szCs w:val="28"/>
              </w:rPr>
              <w:t>.结算通过专用卡结算，不通过现金结算。</w:t>
            </w:r>
          </w:p>
          <w:p w14:paraId="021A23E7">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6</w:t>
            </w:r>
            <w:r>
              <w:rPr>
                <w:rFonts w:hint="eastAsia" w:ascii="仿宋_GB2312" w:hAnsi="等线" w:eastAsia="仿宋_GB2312"/>
                <w:kern w:val="2"/>
                <w:sz w:val="28"/>
                <w:szCs w:val="28"/>
              </w:rPr>
              <w:t>.油品优惠后价格为最终价格，供应商自行承担开卡或其他费用。</w:t>
            </w:r>
          </w:p>
          <w:p w14:paraId="6196532C">
            <w:pPr>
              <w:pStyle w:val="7"/>
              <w:widowControl/>
              <w:shd w:val="clear" w:color="auto" w:fill="FFFFFF"/>
              <w:spacing w:beforeAutospacing="0" w:afterAutospacing="0" w:line="520" w:lineRule="exact"/>
              <w:rPr>
                <w:rFonts w:hint="eastAsia" w:ascii="仿宋_GB2312" w:hAnsi="等线" w:eastAsia="仿宋_GB2312"/>
                <w:kern w:val="2"/>
                <w:sz w:val="28"/>
                <w:szCs w:val="28"/>
              </w:rPr>
            </w:pPr>
            <w:r>
              <w:rPr>
                <w:rFonts w:hint="eastAsia" w:ascii="仿宋_GB2312" w:hAnsi="等线" w:eastAsia="仿宋_GB2312"/>
                <w:kern w:val="2"/>
                <w:sz w:val="28"/>
                <w:szCs w:val="28"/>
                <w:lang w:val="en-US" w:eastAsia="zh-CN"/>
              </w:rPr>
              <w:t>7</w:t>
            </w:r>
            <w:r>
              <w:rPr>
                <w:rFonts w:hint="eastAsia" w:ascii="仿宋_GB2312" w:hAnsi="等线" w:eastAsia="仿宋_GB2312"/>
                <w:kern w:val="2"/>
                <w:sz w:val="28"/>
                <w:szCs w:val="28"/>
              </w:rPr>
              <w:t>.供应商需指定专人负责公务用车的加油工作，提供24小时的优质加油服务。</w:t>
            </w:r>
          </w:p>
        </w:tc>
      </w:tr>
    </w:tbl>
    <w:p w14:paraId="4F411529">
      <w:pPr>
        <w:spacing w:line="520" w:lineRule="exact"/>
        <w:ind w:right="1120"/>
        <w:rPr>
          <w:rFonts w:hint="eastAsia" w:ascii="仿宋" w:hAnsi="仿宋" w:eastAsia="仿宋"/>
          <w:sz w:val="28"/>
          <w:szCs w:val="28"/>
        </w:rPr>
      </w:pPr>
    </w:p>
    <w:p w14:paraId="2361C796">
      <w:pPr>
        <w:pStyle w:val="7"/>
        <w:widowControl/>
        <w:shd w:val="clear" w:color="auto" w:fill="FFFFFF"/>
        <w:spacing w:beforeAutospacing="0" w:afterAutospacing="0" w:line="520" w:lineRule="exact"/>
        <w:jc w:val="right"/>
        <w:rPr>
          <w:rFonts w:hint="eastAsia" w:ascii="仿宋_GB2312" w:hAnsi="等线" w:eastAsia="仿宋_GB2312"/>
          <w:kern w:val="2"/>
          <w:sz w:val="28"/>
          <w:szCs w:val="28"/>
        </w:rPr>
      </w:pPr>
      <w:r>
        <w:rPr>
          <w:rFonts w:hint="eastAsia" w:ascii="仿宋_GB2312" w:hAnsi="等线" w:eastAsia="仿宋_GB2312"/>
          <w:kern w:val="2"/>
          <w:sz w:val="28"/>
          <w:szCs w:val="28"/>
        </w:rPr>
        <w:t>报价日期：    年  月  日</w:t>
      </w:r>
    </w:p>
    <w:sectPr>
      <w:pgSz w:w="11906" w:h="16838"/>
      <w:pgMar w:top="1191"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A0DFC"/>
    <w:rsid w:val="000260A5"/>
    <w:rsid w:val="00027AE6"/>
    <w:rsid w:val="00027DBC"/>
    <w:rsid w:val="000F3411"/>
    <w:rsid w:val="0010743C"/>
    <w:rsid w:val="0011284D"/>
    <w:rsid w:val="00112B44"/>
    <w:rsid w:val="001409FC"/>
    <w:rsid w:val="00156B50"/>
    <w:rsid w:val="00174E36"/>
    <w:rsid w:val="001E0551"/>
    <w:rsid w:val="001F7955"/>
    <w:rsid w:val="00242BEC"/>
    <w:rsid w:val="002E502D"/>
    <w:rsid w:val="00313216"/>
    <w:rsid w:val="003904AD"/>
    <w:rsid w:val="00405C0F"/>
    <w:rsid w:val="00426D45"/>
    <w:rsid w:val="00462B83"/>
    <w:rsid w:val="00485CE9"/>
    <w:rsid w:val="00505EB0"/>
    <w:rsid w:val="00520E83"/>
    <w:rsid w:val="005931DA"/>
    <w:rsid w:val="00597EB2"/>
    <w:rsid w:val="00622439"/>
    <w:rsid w:val="006433AB"/>
    <w:rsid w:val="006459E5"/>
    <w:rsid w:val="00666ED9"/>
    <w:rsid w:val="00684FFA"/>
    <w:rsid w:val="0069636D"/>
    <w:rsid w:val="006A31CF"/>
    <w:rsid w:val="006A4255"/>
    <w:rsid w:val="00731900"/>
    <w:rsid w:val="00763A2B"/>
    <w:rsid w:val="0076444F"/>
    <w:rsid w:val="0078392F"/>
    <w:rsid w:val="007A2A35"/>
    <w:rsid w:val="007D0E0F"/>
    <w:rsid w:val="007E4239"/>
    <w:rsid w:val="008031A6"/>
    <w:rsid w:val="00816B0B"/>
    <w:rsid w:val="0082528A"/>
    <w:rsid w:val="00861167"/>
    <w:rsid w:val="00876533"/>
    <w:rsid w:val="00884D26"/>
    <w:rsid w:val="008F571B"/>
    <w:rsid w:val="008F6540"/>
    <w:rsid w:val="009C0F2C"/>
    <w:rsid w:val="009F27F3"/>
    <w:rsid w:val="00A267F6"/>
    <w:rsid w:val="00A33D81"/>
    <w:rsid w:val="00A442A5"/>
    <w:rsid w:val="00A45416"/>
    <w:rsid w:val="00A778E8"/>
    <w:rsid w:val="00A85FDB"/>
    <w:rsid w:val="00AB783F"/>
    <w:rsid w:val="00AE3D64"/>
    <w:rsid w:val="00B57A4F"/>
    <w:rsid w:val="00BC3A34"/>
    <w:rsid w:val="00BD009E"/>
    <w:rsid w:val="00BD5D04"/>
    <w:rsid w:val="00BD694F"/>
    <w:rsid w:val="00BE4C56"/>
    <w:rsid w:val="00C11762"/>
    <w:rsid w:val="00C56F95"/>
    <w:rsid w:val="00CF672D"/>
    <w:rsid w:val="00D1455D"/>
    <w:rsid w:val="00D277C6"/>
    <w:rsid w:val="00D50999"/>
    <w:rsid w:val="00D70F82"/>
    <w:rsid w:val="00D7487B"/>
    <w:rsid w:val="00DC20B7"/>
    <w:rsid w:val="00DE4F46"/>
    <w:rsid w:val="00E209EA"/>
    <w:rsid w:val="00E23AE5"/>
    <w:rsid w:val="00E869E6"/>
    <w:rsid w:val="00EC7BC5"/>
    <w:rsid w:val="00F06742"/>
    <w:rsid w:val="00F15B3B"/>
    <w:rsid w:val="00F5622B"/>
    <w:rsid w:val="00F76300"/>
    <w:rsid w:val="00FB10AF"/>
    <w:rsid w:val="00FB4F7A"/>
    <w:rsid w:val="00FE1091"/>
    <w:rsid w:val="00FF7400"/>
    <w:rsid w:val="01E9202B"/>
    <w:rsid w:val="0850422B"/>
    <w:rsid w:val="09B20242"/>
    <w:rsid w:val="15D64347"/>
    <w:rsid w:val="1A89479A"/>
    <w:rsid w:val="20635AFD"/>
    <w:rsid w:val="20A757B1"/>
    <w:rsid w:val="24301548"/>
    <w:rsid w:val="27862B11"/>
    <w:rsid w:val="28DB4C63"/>
    <w:rsid w:val="28EE65B0"/>
    <w:rsid w:val="293E4515"/>
    <w:rsid w:val="2B5C6D83"/>
    <w:rsid w:val="2C4438FF"/>
    <w:rsid w:val="2D803795"/>
    <w:rsid w:val="2EF61D75"/>
    <w:rsid w:val="323D20F1"/>
    <w:rsid w:val="335A2A65"/>
    <w:rsid w:val="356A0DFC"/>
    <w:rsid w:val="35835AC6"/>
    <w:rsid w:val="38F50DFA"/>
    <w:rsid w:val="41FF1BD9"/>
    <w:rsid w:val="41FF4048"/>
    <w:rsid w:val="421E4992"/>
    <w:rsid w:val="4B6C39BE"/>
    <w:rsid w:val="4CB510BB"/>
    <w:rsid w:val="4FBD5B72"/>
    <w:rsid w:val="504A7351"/>
    <w:rsid w:val="512734AB"/>
    <w:rsid w:val="574056B2"/>
    <w:rsid w:val="5C1414DB"/>
    <w:rsid w:val="5EB1619D"/>
    <w:rsid w:val="5F830A27"/>
    <w:rsid w:val="6BE53C25"/>
    <w:rsid w:val="6F944381"/>
    <w:rsid w:val="70634C72"/>
    <w:rsid w:val="74630434"/>
    <w:rsid w:val="75E1035E"/>
    <w:rsid w:val="7D2E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pPr>
      <w:adjustRightInd w:val="0"/>
      <w:spacing w:line="360" w:lineRule="atLeast"/>
      <w:jc w:val="left"/>
      <w:textAlignment w:val="baseline"/>
    </w:pPr>
    <w:rPr>
      <w:rFonts w:ascii="宋体" w:hAnsi="Courier New"/>
      <w:kern w:val="0"/>
      <w:sz w:val="20"/>
      <w:szCs w:val="20"/>
    </w:rPr>
  </w:style>
  <w:style w:type="paragraph" w:styleId="4">
    <w:name w:val="Date"/>
    <w:basedOn w:val="1"/>
    <w:next w:val="1"/>
    <w:link w:val="14"/>
    <w:qFormat/>
    <w:uiPriority w:val="0"/>
    <w:pPr>
      <w:ind w:left="100" w:leftChars="2500"/>
    </w:pPr>
    <w:rPr>
      <w:szCs w:val="24"/>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szCs w:val="20"/>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纯文本 字符"/>
    <w:basedOn w:val="10"/>
    <w:link w:val="3"/>
    <w:qFormat/>
    <w:uiPriority w:val="0"/>
    <w:rPr>
      <w:rFonts w:ascii="宋体" w:hAnsi="Courier New" w:eastAsia="宋体" w:cs="Times New Roman"/>
    </w:rPr>
  </w:style>
  <w:style w:type="character" w:customStyle="1" w:styleId="14">
    <w:name w:val="日期 字符"/>
    <w:basedOn w:val="10"/>
    <w:link w:val="4"/>
    <w:qFormat/>
    <w:uiPriority w:val="0"/>
    <w:rPr>
      <w:rFonts w:ascii="Times New Roman" w:hAnsi="Times New Roman" w:eastAsia="宋体" w:cs="Times New Roman"/>
      <w:kern w:val="2"/>
      <w:sz w:val="21"/>
      <w:szCs w:val="24"/>
    </w:rPr>
  </w:style>
  <w:style w:type="character" w:customStyle="1" w:styleId="15">
    <w:name w:val="页眉 字符"/>
    <w:basedOn w:val="10"/>
    <w:link w:val="6"/>
    <w:qFormat/>
    <w:uiPriority w:val="0"/>
    <w:rPr>
      <w:rFonts w:ascii="Times New Roman" w:hAnsi="Times New Roman" w:eastAsia="宋体" w:cs="Times New Roman"/>
      <w:kern w:val="2"/>
      <w:sz w:val="18"/>
      <w:szCs w:val="18"/>
    </w:rPr>
  </w:style>
  <w:style w:type="character" w:customStyle="1" w:styleId="16">
    <w:name w:val="页脚 字符"/>
    <w:basedOn w:val="10"/>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486</Characters>
  <Lines>3</Lines>
  <Paragraphs>1</Paragraphs>
  <TotalTime>4</TotalTime>
  <ScaleCrop>false</ScaleCrop>
  <LinksUpToDate>false</LinksUpToDate>
  <CharactersWithSpaces>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2024-08-08T08:25:00Z</dcterms:created>
  <dc:creator>Administrator</dc:creator>
  <cp:lastModifiedBy>Administrator</cp:lastModifiedBy>
  <dcterms:modified xsi:type="dcterms:W3CDTF">2025-04-26T09:14:14Z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7D47C0CA0A704E56B1ACDEEF9CF1D1AA</vt:lpwstr>
  </property>
  <property fmtid="{D5CDD505-2E9C-101B-9397-08002B2CF9AE}" pid="4" name="KSOTemplateDocerSaveRecord">
    <vt:lpwstr>eyJoZGlkIjoiMjNhYmEzYzQ2MWYwYmVjZTUyMzZjYTE4YmVlMmYwZTkiLCJ1c2VySWQiOiI0MzA3MjAyMDcifQ==</vt:lpwstr>
  </property>
</Properties>
</file>